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23 vom 19. Februar 2025</w:t>
      </w:r>
    </w:p>
    <w:p>
      <w:r>
        <w:t>BL Gerichte, 2025-02-19, DE</w:t>
      </w:r>
    </w:p>
    <w:p>
      <w:r>
        <w:rPr>
          <w:b/>
        </w:rPr>
        <w:t xml:space="preserve">Quelle: </w:t>
      </w:r>
      <w:r>
        <w:t>https://mcp.opencaselaw.ch/entscheid/bl_gerichte_810 2024 23</w:t>
      </w:r>
    </w:p>
    <w:p>
      <w:r>
        <w:t>FR: BL_GERICHTE 810 2024 23 du 19 février 2025</w:t>
      </w:r>
    </w:p>
    <w:p>
      <w:r>
        <w:t>IT: BL_GERICHTE 810 2024 23 del 19 febbraio 2025</w:t>
      </w:r>
    </w:p>
    <w:p>
      <w:pPr>
        <w:pStyle w:val="Heading2"/>
      </w:pPr>
      <w:r>
        <w:t>Regeste</w:t>
      </w:r>
    </w:p>
    <w:p>
      <w:r>
        <w:t>Wiederherstellung des rechtmässigen Zustands / Verhältnismässigkeit der Massnahme</w:t>
      </w:r>
    </w:p>
    <w:p>
      <w:pPr>
        <w:pStyle w:val="Heading2"/>
      </w:pPr>
      <w:r>
        <w:t>Erwägungen</w:t>
      </w:r>
    </w:p>
    <w:p>
      <w:r>
        <w:rPr>
          <w:b/>
        </w:rPr>
        <w:t>E. 1</w:t>
      </w:r>
    </w:p>
    <w:p>
      <w:r>
        <w:t>B. , Beschwerdeführer</w:t>
      </w:r>
    </w:p>
    <w:p>
      <w:r>
        <w:rPr>
          <w:b/>
        </w:rPr>
        <w:t>E. 1.1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w:t>
      </w:r>
    </w:p>
    <w:p>
      <w:r>
        <w:rPr>
          <w:b/>
        </w:rPr>
        <w:t>E. 1.2</w:t>
      </w:r>
    </w:p>
    <w:p>
      <w:r>
        <w:t>Nach § 47 Abs. 1 lit. a VPO ist zur Beschwerde befugt, wer durch die angefochtene Verfügung oder den angefochtenen Entscheid berührt ist und ein schutzwürdiges Interesse an der Änderung oder Aufhebung hat. Die Beschwerdeführer sind durch den angefochtenen Entscheid, mit welchem ihnen bzw. dem Baukonsortium A. Frist zur Wiederherstellung des rechtmässigen Zustands gesetzt wurde, in schutzwürdigen Interessen betroffen und damit zur Beschwerde legitimiert. Die weiteren Prozessvoraussetzungen sind ebenfalls erfüllt, sodass auf die Beschwerde eingetreten werden kann.</w:t>
      </w:r>
    </w:p>
    <w:p>
      <w:r>
        <w:rPr>
          <w:b/>
        </w:rPr>
        <w:t>E. 2</w:t>
      </w:r>
    </w:p>
    <w:p>
      <w:r>
        <w:t>Die Angelegenheit wird zur Neuverlegung der Kosten des vorinstanzlichen Verfahrens an die Baurekurskommission des Kantons Basel-Landschaft zurückgewiesen.</w:t>
      </w:r>
    </w:p>
    <w:p>
      <w:r>
        <w:rPr>
          <w:b/>
        </w:rPr>
        <w:t>E. 3</w:t>
      </w:r>
    </w:p>
    <w:p>
      <w:r>
        <w:t>Die Verfahrenskosten in der Höhe von Fr. 3'000.-- werden der Baurekurskommission auferlegt. Der geleistete Kostenvorschuss in der Höhe von Fr. 2'500.-- wird den Beschwerdeführern zurückerstattet.</w:t>
      </w:r>
    </w:p>
    <w:p>
      <w:r>
        <w:rPr>
          <w:b/>
        </w:rPr>
        <w:t>E. 4</w:t>
      </w:r>
    </w:p>
    <w:p>
      <w:r>
        <w:t>Den Beschwerdeführern wird eine Parteientschädigung in der Höhe von Fr. 8'128.90 (inkl. Auslagen und 8.1 % MWST) zulasten der Baurekurskommission zugesprochen.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